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F1509">
      <w:pPr>
        <w:keepNext w:val="0"/>
        <w:keepLines w:val="0"/>
        <w:pageBreakBefore w:val="0"/>
        <w:kinsoku/>
        <w:wordWrap/>
        <w:topLinePunct w:val="0"/>
        <w:bidi w:val="0"/>
        <w:adjustRightInd/>
        <w:snapToGrid/>
        <w:spacing w:line="560" w:lineRule="exact"/>
        <w:textAlignment w:val="auto"/>
        <w:rPr>
          <w:rFonts w:hint="eastAsia"/>
          <w:lang w:val="en-US" w:eastAsia="zh-CN"/>
        </w:rPr>
      </w:pPr>
      <w:r>
        <w:rPr>
          <w:rFonts w:hint="eastAsia" w:ascii="黑体" w:hAnsi="黑体" w:eastAsia="黑体" w:cs="黑体"/>
          <w:i w:val="0"/>
          <w:iCs w:val="0"/>
          <w:caps w:val="0"/>
          <w:color w:val="000000"/>
          <w:spacing w:val="0"/>
          <w:kern w:val="0"/>
          <w:sz w:val="32"/>
          <w:szCs w:val="32"/>
          <w:shd w:val="clear" w:color="auto" w:fill="FFFFFF"/>
          <w:lang w:val="en-US" w:eastAsia="zh-CN" w:bidi="ar"/>
        </w:rPr>
        <w:t>附件2</w:t>
      </w:r>
    </w:p>
    <w:p w14:paraId="11330490">
      <w:pPr>
        <w:pStyle w:val="2"/>
        <w:rPr>
          <w:rFonts w:hint="eastAsia"/>
          <w:lang w:val="en-US" w:eastAsia="zh-CN"/>
        </w:rPr>
      </w:pPr>
    </w:p>
    <w:p w14:paraId="579D64CC">
      <w:pPr>
        <w:keepNext w:val="0"/>
        <w:keepLines w:val="0"/>
        <w:pageBreakBefore w:val="0"/>
        <w:kinsoku/>
        <w:wordWrap/>
        <w:overflowPunct w:val="0"/>
        <w:topLinePunct w:val="0"/>
        <w:autoSpaceDE w:val="0"/>
        <w:autoSpaceDN w:val="0"/>
        <w:bidi w:val="0"/>
        <w:adjustRightInd/>
        <w:snapToGrid/>
        <w:spacing w:line="560" w:lineRule="exact"/>
        <w:jc w:val="center"/>
        <w:textAlignment w:val="auto"/>
        <w:rPr>
          <w:rFonts w:hint="eastAsia" w:ascii="方正小标宋简体" w:eastAsia="方正小标宋简体" w:cs="Times New Roman"/>
          <w:kern w:val="2"/>
          <w:sz w:val="44"/>
          <w:szCs w:val="44"/>
          <w:lang w:val="en-US" w:eastAsia="zh-CN"/>
        </w:rPr>
      </w:pPr>
      <w:r>
        <w:rPr>
          <w:rFonts w:hint="eastAsia" w:ascii="方正小标宋简体" w:eastAsia="方正小标宋简体" w:cs="Times New Roman"/>
          <w:kern w:val="2"/>
          <w:sz w:val="44"/>
          <w:szCs w:val="44"/>
          <w:lang w:val="en-US" w:eastAsia="zh-CN"/>
        </w:rPr>
        <w:t>《关于落实低收入人口动态监测 做好分层分类社会救助工作的实施意见》的</w:t>
      </w:r>
    </w:p>
    <w:p w14:paraId="0E8455D5">
      <w:pPr>
        <w:keepNext w:val="0"/>
        <w:keepLines w:val="0"/>
        <w:pageBreakBefore w:val="0"/>
        <w:kinsoku/>
        <w:wordWrap/>
        <w:overflowPunct w:val="0"/>
        <w:topLinePunct w:val="0"/>
        <w:autoSpaceDE w:val="0"/>
        <w:autoSpaceDN w:val="0"/>
        <w:bidi w:val="0"/>
        <w:adjustRightInd/>
        <w:snapToGrid/>
        <w:spacing w:line="560" w:lineRule="exact"/>
        <w:jc w:val="center"/>
        <w:textAlignment w:val="auto"/>
        <w:rPr>
          <w:rFonts w:hint="default" w:ascii="仿宋" w:hAnsi="仿宋" w:eastAsia="仿宋" w:cs="仿宋"/>
          <w:i w:val="0"/>
          <w:iCs w:val="0"/>
          <w:caps w:val="0"/>
          <w:color w:val="333333"/>
          <w:spacing w:val="0"/>
          <w:sz w:val="36"/>
          <w:szCs w:val="36"/>
          <w:shd w:val="clear" w:color="auto" w:fill="FFFFFF"/>
          <w:lang w:val="en-US"/>
        </w:rPr>
      </w:pPr>
      <w:r>
        <w:rPr>
          <w:rFonts w:hint="eastAsia" w:ascii="方正小标宋简体" w:eastAsia="方正小标宋简体" w:cs="Times New Roman"/>
          <w:kern w:val="2"/>
          <w:sz w:val="44"/>
          <w:szCs w:val="44"/>
          <w:lang w:val="en-US" w:eastAsia="zh-CN"/>
        </w:rPr>
        <w:t>起草说明</w:t>
      </w:r>
    </w:p>
    <w:p w14:paraId="09A14486">
      <w:pPr>
        <w:keepNext w:val="0"/>
        <w:keepLines w:val="0"/>
        <w:pageBreakBefore w:val="0"/>
        <w:kinsoku/>
        <w:wordWrap/>
        <w:overflowPunct w:val="0"/>
        <w:topLinePunct w:val="0"/>
        <w:autoSpaceDE w:val="0"/>
        <w:autoSpaceDN w:val="0"/>
        <w:bidi w:val="0"/>
        <w:adjustRightInd/>
        <w:snapToGrid/>
        <w:spacing w:line="560" w:lineRule="exact"/>
        <w:ind w:firstLine="720" w:firstLineChars="200"/>
        <w:jc w:val="both"/>
        <w:textAlignment w:val="auto"/>
        <w:rPr>
          <w:rFonts w:hint="eastAsia" w:ascii="仿宋" w:hAnsi="仿宋" w:eastAsia="仿宋" w:cs="仿宋"/>
          <w:i w:val="0"/>
          <w:iCs w:val="0"/>
          <w:caps w:val="0"/>
          <w:color w:val="333333"/>
          <w:spacing w:val="0"/>
          <w:sz w:val="36"/>
          <w:szCs w:val="36"/>
          <w:shd w:val="clear" w:color="auto" w:fill="FFFFFF"/>
        </w:rPr>
      </w:pPr>
    </w:p>
    <w:p w14:paraId="7B49A512">
      <w:pPr>
        <w:keepNext w:val="0"/>
        <w:keepLines w:val="0"/>
        <w:pageBreakBefore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一、</w:t>
      </w:r>
      <w:r>
        <w:rPr>
          <w:rFonts w:hint="eastAsia" w:ascii="黑体" w:hAnsi="黑体" w:eastAsia="黑体" w:cs="黑体"/>
          <w:i w:val="0"/>
          <w:iCs w:val="0"/>
          <w:caps w:val="0"/>
          <w:color w:val="auto"/>
          <w:spacing w:val="0"/>
          <w:sz w:val="32"/>
          <w:szCs w:val="32"/>
          <w:shd w:val="clear" w:color="auto" w:fill="FFFFFF"/>
          <w:lang w:val="en-US" w:eastAsia="zh-CN"/>
        </w:rPr>
        <w:t>起草</w:t>
      </w:r>
      <w:r>
        <w:rPr>
          <w:rFonts w:hint="eastAsia" w:ascii="黑体" w:hAnsi="黑体" w:eastAsia="黑体" w:cs="黑体"/>
          <w:i w:val="0"/>
          <w:iCs w:val="0"/>
          <w:caps w:val="0"/>
          <w:color w:val="auto"/>
          <w:spacing w:val="0"/>
          <w:sz w:val="32"/>
          <w:szCs w:val="32"/>
          <w:shd w:val="clear" w:color="auto" w:fill="FFFFFF"/>
        </w:rPr>
        <w:t>背景</w:t>
      </w:r>
    </w:p>
    <w:p w14:paraId="70BB1FA1">
      <w:pPr>
        <w:keepNext w:val="0"/>
        <w:keepLines w:val="0"/>
        <w:pageBreakBefore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_GB2312" w:eastAsia="仿宋_GB2312" w:cs="Times New Roman"/>
          <w:color w:val="auto"/>
          <w:sz w:val="32"/>
          <w:szCs w:val="32"/>
        </w:rPr>
        <w:t>202</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年</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月1</w:t>
      </w:r>
      <w:r>
        <w:rPr>
          <w:rFonts w:hint="eastAsia" w:ascii="仿宋_GB2312" w:eastAsia="仿宋_GB2312" w:cs="Times New Roman"/>
          <w:color w:val="auto"/>
          <w:sz w:val="32"/>
          <w:szCs w:val="32"/>
          <w:lang w:val="en-US" w:eastAsia="zh-CN"/>
        </w:rPr>
        <w:t>6</w:t>
      </w:r>
      <w:r>
        <w:rPr>
          <w:rFonts w:hint="eastAsia" w:ascii="仿宋_GB2312" w:eastAsia="仿宋_GB2312" w:cs="Times New Roman"/>
          <w:color w:val="auto"/>
          <w:sz w:val="32"/>
          <w:szCs w:val="32"/>
        </w:rPr>
        <w:t>日，</w:t>
      </w:r>
      <w:r>
        <w:rPr>
          <w:rFonts w:hint="eastAsia" w:ascii="仿宋_GB2312" w:eastAsia="仿宋_GB2312" w:cs="Times New Roman"/>
          <w:color w:val="auto"/>
          <w:sz w:val="32"/>
          <w:szCs w:val="32"/>
          <w:lang w:val="en-US" w:eastAsia="zh-CN"/>
        </w:rPr>
        <w:t>省政府</w:t>
      </w:r>
      <w:r>
        <w:rPr>
          <w:rFonts w:hint="eastAsia" w:ascii="仿宋_GB2312" w:eastAsia="仿宋_GB2312" w:cs="Times New Roman"/>
          <w:color w:val="auto"/>
          <w:sz w:val="32"/>
          <w:szCs w:val="32"/>
        </w:rPr>
        <w:t>办公厅转发</w:t>
      </w:r>
      <w:r>
        <w:rPr>
          <w:rFonts w:hint="eastAsia" w:ascii="仿宋_GB2312" w:eastAsia="仿宋_GB2312" w:cs="Times New Roman"/>
          <w:color w:val="auto"/>
          <w:sz w:val="32"/>
          <w:szCs w:val="32"/>
          <w:lang w:val="en-US" w:eastAsia="zh-CN"/>
        </w:rPr>
        <w:t>省</w:t>
      </w:r>
      <w:r>
        <w:rPr>
          <w:rFonts w:hint="eastAsia" w:ascii="仿宋_GB2312" w:eastAsia="仿宋_GB2312" w:cs="Times New Roman"/>
          <w:color w:val="auto"/>
          <w:sz w:val="32"/>
          <w:szCs w:val="32"/>
        </w:rPr>
        <w:t>民政</w:t>
      </w:r>
      <w:r>
        <w:rPr>
          <w:rFonts w:hint="eastAsia" w:ascii="仿宋_GB2312" w:eastAsia="仿宋_GB2312" w:cs="Times New Roman"/>
          <w:color w:val="auto"/>
          <w:sz w:val="32"/>
          <w:szCs w:val="32"/>
          <w:lang w:val="en-US" w:eastAsia="zh-CN"/>
        </w:rPr>
        <w:t>厅</w:t>
      </w:r>
      <w:r>
        <w:rPr>
          <w:rFonts w:hint="eastAsia" w:ascii="仿宋_GB2312" w:eastAsia="仿宋_GB2312" w:cs="Times New Roman"/>
          <w:color w:val="auto"/>
          <w:sz w:val="32"/>
          <w:szCs w:val="32"/>
        </w:rPr>
        <w:t>等单位</w:t>
      </w:r>
      <w:r>
        <w:rPr>
          <w:rFonts w:hint="eastAsia" w:ascii="仿宋_GB2312" w:eastAsia="仿宋_GB2312" w:cs="Times New Roman"/>
          <w:color w:val="auto"/>
          <w:sz w:val="32"/>
          <w:szCs w:val="32"/>
          <w:lang w:val="en-US" w:eastAsia="zh-CN"/>
        </w:rPr>
        <w:t>《关于落实低收入人口动态监测做好分层分类社会救助工作的实施意见》的通知（赣府厅发〔2024〕11号</w:t>
      </w:r>
      <w:r>
        <w:rPr>
          <w:rFonts w:hint="eastAsia" w:ascii="仿宋_GB2312" w:eastAsia="仿宋_GB2312" w:cs="Times New Roman"/>
          <w:color w:val="auto"/>
          <w:sz w:val="32"/>
          <w:szCs w:val="32"/>
        </w:rPr>
        <w:t>，以下简称《意见》</w:t>
      </w:r>
      <w:r>
        <w:rPr>
          <w:rFonts w:hint="eastAsia" w:ascii="仿宋_GB2312" w:eastAsia="仿宋_GB2312" w:cs="Times New Roman"/>
          <w:color w:val="auto"/>
          <w:sz w:val="32"/>
          <w:szCs w:val="32"/>
          <w:lang w:val="en-US" w:eastAsia="zh-CN"/>
        </w:rPr>
        <w:t>）</w:t>
      </w:r>
      <w:r>
        <w:rPr>
          <w:rFonts w:hint="eastAsia" w:ascii="仿宋_GB2312" w:eastAsia="仿宋_GB2312" w:cs="Times New Roman"/>
          <w:color w:val="auto"/>
          <w:sz w:val="32"/>
          <w:szCs w:val="32"/>
        </w:rPr>
        <w:t>对进一步加强低收入人口动态监测、健全分层分类社会救助体系作出重要部署。为深入贯彻落实</w:t>
      </w:r>
      <w:r>
        <w:rPr>
          <w:rFonts w:hint="eastAsia" w:ascii="仿宋_GB2312" w:eastAsia="仿宋_GB2312" w:cs="Times New Roman"/>
          <w:color w:val="auto"/>
          <w:sz w:val="32"/>
          <w:szCs w:val="32"/>
          <w:lang w:val="en-US" w:eastAsia="zh-CN"/>
        </w:rPr>
        <w:t>省委</w:t>
      </w:r>
      <w:r>
        <w:rPr>
          <w:rFonts w:hint="eastAsia" w:ascii="仿宋_GB2312" w:eastAsia="仿宋_GB2312" w:cs="Times New Roman"/>
          <w:color w:val="auto"/>
          <w:sz w:val="32"/>
          <w:szCs w:val="32"/>
        </w:rPr>
        <w:t>、</w:t>
      </w:r>
      <w:r>
        <w:rPr>
          <w:rFonts w:hint="eastAsia" w:ascii="仿宋_GB2312" w:eastAsia="仿宋_GB2312" w:cs="Times New Roman"/>
          <w:color w:val="auto"/>
          <w:sz w:val="32"/>
          <w:szCs w:val="32"/>
          <w:lang w:val="en-US" w:eastAsia="zh-CN"/>
        </w:rPr>
        <w:t>省政府</w:t>
      </w:r>
      <w:r>
        <w:rPr>
          <w:rFonts w:hint="eastAsia" w:ascii="仿宋_GB2312" w:eastAsia="仿宋_GB2312" w:cs="Times New Roman"/>
          <w:color w:val="auto"/>
          <w:sz w:val="32"/>
          <w:szCs w:val="32"/>
        </w:rPr>
        <w:t>关于健全分层分类社会救助体系的决策精神，确保将《意见》各项部署要求不折不扣落到实处，</w:t>
      </w:r>
      <w:r>
        <w:rPr>
          <w:rFonts w:hint="eastAsia" w:ascii="仿宋_GB2312" w:eastAsia="仿宋_GB2312" w:cs="Times New Roman"/>
          <w:color w:val="auto"/>
          <w:sz w:val="32"/>
          <w:szCs w:val="32"/>
          <w:lang w:val="en-US" w:eastAsia="zh-CN"/>
        </w:rPr>
        <w:t>市</w:t>
      </w:r>
      <w:r>
        <w:rPr>
          <w:rFonts w:hint="eastAsia" w:ascii="仿宋_GB2312" w:eastAsia="仿宋_GB2312" w:cs="Times New Roman"/>
          <w:color w:val="auto"/>
          <w:sz w:val="32"/>
          <w:szCs w:val="32"/>
        </w:rPr>
        <w:t>民政</w:t>
      </w:r>
      <w:r>
        <w:rPr>
          <w:rFonts w:hint="eastAsia" w:ascii="仿宋_GB2312" w:eastAsia="仿宋_GB2312" w:cs="Times New Roman"/>
          <w:color w:val="auto"/>
          <w:sz w:val="32"/>
          <w:szCs w:val="32"/>
          <w:lang w:val="en-US" w:eastAsia="zh-CN"/>
        </w:rPr>
        <w:t>局</w:t>
      </w:r>
      <w:r>
        <w:rPr>
          <w:rFonts w:hint="eastAsia" w:ascii="仿宋_GB2312" w:eastAsia="仿宋_GB2312" w:cs="Times New Roman"/>
          <w:color w:val="auto"/>
          <w:sz w:val="32"/>
          <w:szCs w:val="32"/>
        </w:rPr>
        <w:t>会同相关部门，在深入学习领会《意见》精神的基础上，结合</w:t>
      </w:r>
      <w:r>
        <w:rPr>
          <w:rFonts w:hint="eastAsia" w:ascii="仿宋_GB2312" w:eastAsia="仿宋_GB2312" w:cs="Times New Roman"/>
          <w:color w:val="auto"/>
          <w:sz w:val="32"/>
          <w:szCs w:val="32"/>
          <w:lang w:val="en-US" w:eastAsia="zh-CN"/>
        </w:rPr>
        <w:t>南昌</w:t>
      </w:r>
      <w:r>
        <w:rPr>
          <w:rFonts w:hint="eastAsia" w:ascii="仿宋_GB2312" w:eastAsia="仿宋_GB2312" w:cs="Times New Roman"/>
          <w:color w:val="auto"/>
          <w:sz w:val="32"/>
          <w:szCs w:val="32"/>
        </w:rPr>
        <w:t>社会救助工作实际，制定了《关于加强低收入人口动态监测做好分层分类社会救助工作的实施</w:t>
      </w:r>
      <w:r>
        <w:rPr>
          <w:rFonts w:hint="eastAsia" w:ascii="仿宋_GB2312" w:eastAsia="仿宋_GB2312" w:cs="Times New Roman"/>
          <w:color w:val="auto"/>
          <w:sz w:val="32"/>
          <w:szCs w:val="32"/>
          <w:lang w:val="en-US" w:eastAsia="zh-CN"/>
        </w:rPr>
        <w:t>方案（征求意见稿）</w:t>
      </w:r>
      <w:r>
        <w:rPr>
          <w:rFonts w:hint="eastAsia" w:ascii="仿宋_GB2312" w:eastAsia="仿宋_GB2312" w:cs="Times New Roman"/>
          <w:color w:val="auto"/>
          <w:sz w:val="32"/>
          <w:szCs w:val="32"/>
        </w:rPr>
        <w:t>》（以下简称《实施</w:t>
      </w:r>
      <w:r>
        <w:rPr>
          <w:rFonts w:hint="eastAsia" w:ascii="仿宋_GB2312" w:eastAsia="仿宋_GB2312" w:cs="Times New Roman"/>
          <w:color w:val="auto"/>
          <w:sz w:val="32"/>
          <w:szCs w:val="32"/>
          <w:lang w:val="en-US" w:eastAsia="zh-CN"/>
        </w:rPr>
        <w:t>方案</w:t>
      </w:r>
      <w:r>
        <w:rPr>
          <w:rFonts w:hint="eastAsia" w:ascii="仿宋_GB2312" w:eastAsia="仿宋_GB2312" w:cs="Times New Roman"/>
          <w:color w:val="auto"/>
          <w:sz w:val="32"/>
          <w:szCs w:val="32"/>
        </w:rPr>
        <w:t>》）。</w:t>
      </w:r>
    </w:p>
    <w:p w14:paraId="6AAB23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i w:val="0"/>
          <w:iCs w:val="0"/>
          <w:caps w:val="0"/>
          <w:color w:val="auto"/>
          <w:spacing w:val="0"/>
          <w:sz w:val="32"/>
          <w:szCs w:val="32"/>
          <w:shd w:val="clear" w:color="auto" w:fill="FFFFFF"/>
          <w:lang w:eastAsia="zh-CN"/>
        </w:rPr>
        <w:t>《</w:t>
      </w:r>
      <w:r>
        <w:rPr>
          <w:rFonts w:hint="eastAsia" w:ascii="黑体" w:hAnsi="黑体" w:eastAsia="黑体" w:cs="黑体"/>
          <w:i w:val="0"/>
          <w:iCs w:val="0"/>
          <w:caps w:val="0"/>
          <w:color w:val="auto"/>
          <w:spacing w:val="0"/>
          <w:sz w:val="32"/>
          <w:szCs w:val="32"/>
          <w:shd w:val="clear" w:color="auto" w:fill="FFFFFF"/>
          <w:lang w:val="en-US" w:eastAsia="zh-CN"/>
        </w:rPr>
        <w:t>实施方案》</w:t>
      </w:r>
      <w:r>
        <w:rPr>
          <w:rFonts w:hint="eastAsia" w:ascii="黑体" w:hAnsi="黑体" w:eastAsia="黑体" w:cs="黑体"/>
          <w:i w:val="0"/>
          <w:iCs w:val="0"/>
          <w:caps w:val="0"/>
          <w:color w:val="auto"/>
          <w:spacing w:val="0"/>
          <w:sz w:val="32"/>
          <w:szCs w:val="32"/>
          <w:shd w:val="clear" w:color="auto" w:fill="FFFFFF"/>
        </w:rPr>
        <w:t>主要内容</w:t>
      </w:r>
    </w:p>
    <w:p w14:paraId="288FA8E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方正仿宋_GBK"/>
          <w:color w:val="000000"/>
          <w:sz w:val="32"/>
          <w:szCs w:val="32"/>
        </w:rPr>
      </w:pPr>
      <w:r>
        <w:rPr>
          <w:rFonts w:hint="eastAsia" w:ascii="楷体_GB2312" w:hAnsi="楷体_GB2312" w:eastAsia="楷体_GB2312" w:cs="楷体_GB2312"/>
          <w:b w:val="0"/>
          <w:bCs w:val="0"/>
          <w:color w:val="000000"/>
          <w:kern w:val="0"/>
          <w:sz w:val="32"/>
          <w:szCs w:val="32"/>
          <w:lang w:val="en-US" w:eastAsia="zh-CN" w:bidi="ar"/>
        </w:rPr>
        <w:t>第一部分：工作目标。</w:t>
      </w:r>
      <w:r>
        <w:rPr>
          <w:rFonts w:hint="eastAsia" w:ascii="仿宋_GB2312" w:hAnsi="仿宋_GB2312" w:eastAsia="仿宋_GB2312" w:cs="方正仿宋_GBK"/>
          <w:color w:val="000000"/>
          <w:sz w:val="32"/>
          <w:szCs w:val="32"/>
        </w:rPr>
        <w:t>以习近平新时代中国特色社会主义思想为指导</w:t>
      </w:r>
      <w:r>
        <w:rPr>
          <w:rFonts w:hint="eastAsia" w:ascii="仿宋_GB2312" w:hAnsi="仿宋_GB2312" w:eastAsia="仿宋_GB2312" w:cs="方正仿宋_GBK"/>
          <w:color w:val="000000"/>
          <w:sz w:val="32"/>
          <w:szCs w:val="32"/>
          <w:lang w:eastAsia="zh-CN"/>
        </w:rPr>
        <w:t>，</w:t>
      </w:r>
      <w:r>
        <w:rPr>
          <w:rFonts w:hint="eastAsia" w:ascii="仿宋_GB2312" w:hAnsi="仿宋_GB2312" w:eastAsia="仿宋_GB2312" w:cs="方正仿宋_GBK"/>
          <w:color w:val="000000"/>
          <w:sz w:val="32"/>
          <w:szCs w:val="32"/>
        </w:rPr>
        <w:t>全面贯彻党的二十大精神和习近平总书记考察江西重要讲话精神</w:t>
      </w:r>
      <w:r>
        <w:rPr>
          <w:rFonts w:hint="eastAsia" w:ascii="仿宋_GB2312" w:hAnsi="仿宋_GB2312" w:eastAsia="仿宋_GB2312" w:cs="方正仿宋_GBK"/>
          <w:color w:val="000000"/>
          <w:sz w:val="32"/>
          <w:szCs w:val="32"/>
          <w:lang w:val="en-US" w:eastAsia="zh-CN"/>
        </w:rPr>
        <w:t>，</w:t>
      </w:r>
      <w:r>
        <w:rPr>
          <w:rFonts w:hint="eastAsia" w:ascii="仿宋_GB2312" w:hAnsi="仿宋_GB2312" w:eastAsia="仿宋_GB2312" w:cs="方正仿宋_GBK"/>
          <w:color w:val="000000"/>
          <w:sz w:val="32"/>
          <w:szCs w:val="32"/>
        </w:rPr>
        <w:t>认真落实党中央、国务院</w:t>
      </w:r>
      <w:r>
        <w:rPr>
          <w:rFonts w:hint="eastAsia" w:ascii="仿宋_GB2312" w:hAnsi="仿宋_GB2312" w:eastAsia="仿宋_GB2312" w:cs="方正仿宋_GBK"/>
          <w:color w:val="000000"/>
          <w:sz w:val="32"/>
          <w:szCs w:val="32"/>
          <w:lang w:val="en-US" w:eastAsia="zh-CN"/>
        </w:rPr>
        <w:t>和省</w:t>
      </w:r>
      <w:r>
        <w:rPr>
          <w:rFonts w:hint="eastAsia" w:ascii="仿宋_GB2312" w:hAnsi="仿宋_GB2312" w:eastAsia="仿宋_GB2312" w:cs="方正仿宋_GBK"/>
          <w:color w:val="000000"/>
          <w:sz w:val="32"/>
          <w:szCs w:val="32"/>
        </w:rPr>
        <w:t>关于改革完善社会救助制度、巩固拓展脱贫攻坚成果同乡村振兴有效衔接的决策部署</w:t>
      </w:r>
      <w:r>
        <w:rPr>
          <w:rFonts w:hint="eastAsia" w:ascii="仿宋_GB2312" w:hAnsi="仿宋_GB2312" w:eastAsia="仿宋_GB2312" w:cs="方正仿宋_GBK"/>
          <w:color w:val="000000"/>
          <w:sz w:val="32"/>
          <w:szCs w:val="32"/>
          <w:lang w:eastAsia="zh-CN"/>
        </w:rPr>
        <w:t>，</w:t>
      </w:r>
      <w:r>
        <w:rPr>
          <w:rFonts w:hint="eastAsia" w:ascii="仿宋_GB2312" w:hAnsi="仿宋_GB2312" w:eastAsia="仿宋_GB2312" w:cs="方正仿宋_GBK"/>
          <w:color w:val="000000"/>
          <w:sz w:val="32"/>
          <w:szCs w:val="32"/>
        </w:rPr>
        <w:t>坚持以人民为中心的发展思想</w:t>
      </w:r>
      <w:r>
        <w:rPr>
          <w:rFonts w:hint="eastAsia" w:ascii="仿宋_GB2312" w:hAnsi="仿宋_GB2312" w:eastAsia="仿宋_GB2312" w:cs="方正仿宋_GBK"/>
          <w:color w:val="000000"/>
          <w:sz w:val="32"/>
          <w:szCs w:val="32"/>
          <w:lang w:eastAsia="zh-CN"/>
        </w:rPr>
        <w:t>，</w:t>
      </w:r>
      <w:r>
        <w:rPr>
          <w:rFonts w:hint="eastAsia" w:ascii="仿宋_GB2312" w:hAnsi="仿宋_GB2312" w:eastAsia="仿宋_GB2312" w:cs="方正仿宋_GBK"/>
          <w:color w:val="000000"/>
          <w:sz w:val="32"/>
          <w:szCs w:val="32"/>
        </w:rPr>
        <w:t>坚持尽力而为、量力而行</w:t>
      </w:r>
      <w:r>
        <w:rPr>
          <w:rFonts w:hint="eastAsia" w:ascii="仿宋_GB2312" w:hAnsi="仿宋_GB2312" w:eastAsia="仿宋_GB2312" w:cs="方正仿宋_GBK"/>
          <w:color w:val="000000"/>
          <w:sz w:val="32"/>
          <w:szCs w:val="32"/>
          <w:lang w:eastAsia="zh-CN"/>
        </w:rPr>
        <w:t>，到</w:t>
      </w:r>
      <w:r>
        <w:rPr>
          <w:rFonts w:hint="eastAsia" w:ascii="仿宋_GB2312" w:hAnsi="仿宋_GB2312" w:eastAsia="仿宋_GB2312" w:cs="方正仿宋_GBK"/>
          <w:color w:val="000000"/>
          <w:sz w:val="32"/>
          <w:szCs w:val="32"/>
          <w:lang w:val="en-US" w:eastAsia="zh-CN"/>
        </w:rPr>
        <w:t>2024年底，</w:t>
      </w:r>
      <w:r>
        <w:rPr>
          <w:rFonts w:hint="eastAsia" w:ascii="仿宋_GB2312" w:hAnsi="仿宋_GB2312" w:eastAsia="仿宋_GB2312" w:cs="方正仿宋_GBK"/>
          <w:color w:val="000000"/>
          <w:sz w:val="32"/>
          <w:szCs w:val="32"/>
        </w:rPr>
        <w:t>健全</w:t>
      </w:r>
      <w:r>
        <w:rPr>
          <w:rFonts w:hint="eastAsia" w:ascii="仿宋_GB2312" w:hAnsi="仿宋_GB2312" w:eastAsia="仿宋_GB2312" w:cs="方正仿宋_GBK"/>
          <w:color w:val="000000"/>
          <w:sz w:val="32"/>
          <w:szCs w:val="32"/>
          <w:lang w:eastAsia="zh-CN"/>
        </w:rPr>
        <w:t>完善</w:t>
      </w:r>
      <w:r>
        <w:rPr>
          <w:rFonts w:hint="eastAsia" w:ascii="仿宋_GB2312" w:hAnsi="仿宋_GB2312" w:eastAsia="仿宋_GB2312" w:cs="方正仿宋_GBK"/>
          <w:color w:val="000000"/>
          <w:sz w:val="32"/>
          <w:szCs w:val="32"/>
        </w:rPr>
        <w:t>以基本生活救助、专项社会救助、急难社会救助为主体</w:t>
      </w:r>
      <w:r>
        <w:rPr>
          <w:rFonts w:hint="eastAsia" w:ascii="仿宋_GB2312" w:hAnsi="仿宋_GB2312" w:eastAsia="仿宋_GB2312" w:cs="方正仿宋_GBK"/>
          <w:color w:val="000000"/>
          <w:sz w:val="32"/>
          <w:szCs w:val="32"/>
          <w:lang w:eastAsia="zh-CN"/>
        </w:rPr>
        <w:t>，</w:t>
      </w:r>
      <w:r>
        <w:rPr>
          <w:rFonts w:hint="eastAsia" w:ascii="仿宋_GB2312" w:hAnsi="仿宋_GB2312" w:eastAsia="仿宋_GB2312" w:cs="方正仿宋_GBK"/>
          <w:color w:val="000000"/>
          <w:sz w:val="32"/>
          <w:szCs w:val="32"/>
        </w:rPr>
        <w:t>社会力量参与为补充</w:t>
      </w:r>
      <w:r>
        <w:rPr>
          <w:rFonts w:hint="eastAsia" w:ascii="仿宋_GB2312" w:hAnsi="仿宋_GB2312" w:eastAsia="仿宋_GB2312" w:cs="方正仿宋_GBK"/>
          <w:color w:val="000000"/>
          <w:sz w:val="32"/>
          <w:szCs w:val="32"/>
          <w:lang w:eastAsia="zh-CN"/>
        </w:rPr>
        <w:t>，覆盖全面、</w:t>
      </w:r>
      <w:r>
        <w:rPr>
          <w:rFonts w:hint="eastAsia" w:ascii="仿宋_GB2312" w:hAnsi="仿宋_GB2312" w:eastAsia="仿宋_GB2312" w:cs="方正仿宋_GBK"/>
          <w:color w:val="000000"/>
          <w:sz w:val="32"/>
          <w:szCs w:val="32"/>
        </w:rPr>
        <w:t>分层分类</w:t>
      </w:r>
      <w:r>
        <w:rPr>
          <w:rFonts w:hint="eastAsia" w:ascii="仿宋_GB2312" w:hAnsi="仿宋_GB2312" w:eastAsia="仿宋_GB2312" w:cs="方正仿宋_GBK"/>
          <w:color w:val="000000"/>
          <w:sz w:val="32"/>
          <w:szCs w:val="32"/>
          <w:lang w:eastAsia="zh-CN"/>
        </w:rPr>
        <w:t>、综合高效的</w:t>
      </w:r>
      <w:r>
        <w:rPr>
          <w:rFonts w:hint="eastAsia" w:ascii="仿宋_GB2312" w:hAnsi="仿宋_GB2312" w:eastAsia="仿宋_GB2312" w:cs="方正仿宋_GBK"/>
          <w:color w:val="000000"/>
          <w:sz w:val="32"/>
          <w:szCs w:val="32"/>
        </w:rPr>
        <w:t>社会救助</w:t>
      </w:r>
      <w:r>
        <w:rPr>
          <w:rFonts w:hint="eastAsia" w:ascii="仿宋_GB2312" w:hAnsi="仿宋_GB2312" w:eastAsia="仿宋_GB2312" w:cs="方正仿宋_GBK"/>
          <w:color w:val="000000"/>
          <w:sz w:val="32"/>
          <w:szCs w:val="32"/>
          <w:lang w:eastAsia="zh-CN"/>
        </w:rPr>
        <w:t>格局。并在此基础上，持续</w:t>
      </w:r>
      <w:r>
        <w:rPr>
          <w:rFonts w:hint="eastAsia" w:ascii="仿宋_GB2312" w:hAnsi="仿宋_GB2312" w:eastAsia="仿宋_GB2312" w:cs="方正仿宋_GBK"/>
          <w:color w:val="000000"/>
          <w:sz w:val="32"/>
          <w:szCs w:val="32"/>
        </w:rPr>
        <w:t>健全完善低收入人口相关认定制度和救助帮扶政策</w:t>
      </w:r>
      <w:r>
        <w:rPr>
          <w:rFonts w:hint="eastAsia" w:ascii="仿宋_GB2312" w:hAnsi="仿宋_GB2312" w:eastAsia="仿宋_GB2312" w:cs="方正仿宋_GBK"/>
          <w:color w:val="000000"/>
          <w:sz w:val="32"/>
          <w:szCs w:val="32"/>
          <w:lang w:eastAsia="zh-CN"/>
        </w:rPr>
        <w:t>，推进</w:t>
      </w:r>
      <w:r>
        <w:rPr>
          <w:rFonts w:hint="eastAsia" w:ascii="仿宋_GB2312" w:hAnsi="仿宋_GB2312" w:eastAsia="仿宋_GB2312" w:cs="方正仿宋_GBK"/>
          <w:color w:val="000000"/>
          <w:sz w:val="32"/>
          <w:szCs w:val="32"/>
          <w:lang w:val="en-US" w:eastAsia="zh-CN"/>
        </w:rPr>
        <w:t>救助资源统筹衔接、救助信息聚合共享、救助效率有效提升，</w:t>
      </w:r>
      <w:r>
        <w:rPr>
          <w:rFonts w:hint="eastAsia" w:ascii="仿宋_GB2312" w:hAnsi="仿宋_GB2312" w:eastAsia="仿宋_GB2312" w:cs="方正仿宋_GBK"/>
          <w:color w:val="000000"/>
          <w:sz w:val="32"/>
          <w:szCs w:val="32"/>
        </w:rPr>
        <w:t>切实兜住兜准兜好基本民生底线</w:t>
      </w:r>
      <w:r>
        <w:rPr>
          <w:rFonts w:hint="eastAsia" w:ascii="仿宋_GB2312" w:hAnsi="仿宋_GB2312" w:eastAsia="仿宋_GB2312" w:cs="方正仿宋_GBK"/>
          <w:color w:val="000000"/>
          <w:sz w:val="32"/>
          <w:szCs w:val="32"/>
          <w:lang w:eastAsia="zh-CN"/>
        </w:rPr>
        <w:t>，</w:t>
      </w:r>
      <w:r>
        <w:rPr>
          <w:rFonts w:hint="eastAsia" w:ascii="仿宋_GB2312" w:hAnsi="仿宋_GB2312" w:eastAsia="仿宋_GB2312" w:cs="方正仿宋_GBK"/>
          <w:color w:val="000000"/>
          <w:sz w:val="32"/>
          <w:szCs w:val="32"/>
        </w:rPr>
        <w:t>扎实推进全体人民共同富裕。</w:t>
      </w:r>
    </w:p>
    <w:p w14:paraId="0082FA67">
      <w:pPr>
        <w:pStyle w:val="5"/>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pacing w:val="-10"/>
          <w:sz w:val="32"/>
          <w:szCs w:val="32"/>
          <w:lang w:val="en-US" w:eastAsia="zh-CN"/>
        </w:rPr>
      </w:pPr>
      <w:r>
        <w:rPr>
          <w:rFonts w:hint="eastAsia" w:ascii="楷体_GB2312" w:hAnsi="楷体_GB2312" w:eastAsia="楷体_GB2312" w:cs="楷体_GB2312"/>
          <w:b w:val="0"/>
          <w:bCs w:val="0"/>
          <w:color w:val="000000"/>
          <w:kern w:val="0"/>
          <w:sz w:val="32"/>
          <w:szCs w:val="32"/>
          <w:lang w:val="en-US" w:eastAsia="zh-CN" w:bidi="ar"/>
        </w:rPr>
        <w:t>第二部分：完善低收入人口数据库。</w:t>
      </w:r>
      <w:r>
        <w:rPr>
          <w:rFonts w:hint="eastAsia" w:ascii="仿宋_GB2312" w:hAnsi="仿宋_GB2312" w:eastAsia="仿宋_GB2312" w:cs="方正仿宋_GBK"/>
          <w:color w:val="000000"/>
          <w:sz w:val="32"/>
          <w:szCs w:val="32"/>
        </w:rPr>
        <w:t>明确了最低生活保障对象、特困供养人员、低保边缘家庭、防止返贫监测对象、刚性支出以及其他困难人员等6类低收入人口的认定条件及认定程序</w:t>
      </w:r>
      <w:r>
        <w:rPr>
          <w:rFonts w:hint="eastAsia" w:ascii="仿宋_GB2312" w:hAnsi="仿宋_GB2312" w:eastAsia="仿宋_GB2312" w:cs="仿宋_GB2312"/>
          <w:color w:val="000000"/>
          <w:kern w:val="0"/>
          <w:sz w:val="32"/>
          <w:szCs w:val="32"/>
          <w:lang w:val="en-US" w:eastAsia="zh-CN" w:bidi="ar"/>
        </w:rPr>
        <w:t>。同时，明确要求</w:t>
      </w:r>
      <w:r>
        <w:rPr>
          <w:rFonts w:hint="eastAsia" w:ascii="仿宋_GB2312" w:hAnsi="仿宋_GB2312" w:eastAsia="仿宋_GB2312" w:cs="仿宋_GB2312"/>
          <w:color w:val="auto"/>
          <w:spacing w:val="-10"/>
          <w:sz w:val="32"/>
          <w:szCs w:val="32"/>
        </w:rPr>
        <w:t>按照“市级指导、县级统筹、镇街落实、村社协助”原则</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分级分类采集辖区内低收入人口信息</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并录入至低收入人口动态监测信息平台。</w:t>
      </w:r>
    </w:p>
    <w:p w14:paraId="6CE70532">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第三部分：加强低收入人口动态监测。</w:t>
      </w:r>
      <w:r>
        <w:rPr>
          <w:rFonts w:hint="eastAsia" w:ascii="仿宋_GB2312" w:hAnsi="仿宋_GB2312" w:eastAsia="仿宋_GB2312" w:cs="仿宋_GB2312"/>
          <w:color w:val="000000"/>
          <w:kern w:val="0"/>
          <w:sz w:val="32"/>
          <w:szCs w:val="32"/>
          <w:lang w:val="en-US" w:eastAsia="zh-CN" w:bidi="ar"/>
        </w:rPr>
        <w:t xml:space="preserve">主要部署了强化跨部门数据共享、创新动态监测方式、分类处置预警信息三个方面。在强化跨部门数据共享方面，明确了信息共享单位，、信息共享的形式、信息共享内容。在创新动态监测方式方面，主要有强化“大数据”比对、加强“铁脚板摸排”２项任务，目的是发挥"大数据＋铁脚板”作用，强化主动发现能力。在分类处置预警信息方面，主要根据监测中掌握的情况，进行按需落实救助政策、规范终止监测程序、适时启动"一事一议”等3类方式处置。  </w:t>
      </w:r>
    </w:p>
    <w:p w14:paraId="57B2A12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kern w:val="0"/>
          <w:sz w:val="32"/>
          <w:szCs w:val="32"/>
          <w:lang w:val="en-US" w:eastAsia="zh-CN" w:bidi="ar"/>
        </w:rPr>
        <w:t>第四部分：</w:t>
      </w:r>
      <w:r>
        <w:rPr>
          <w:rFonts w:hint="eastAsia" w:ascii="楷体_GB2312" w:hAnsi="楷体_GB2312" w:eastAsia="楷体_GB2312" w:cs="楷体_GB2312"/>
          <w:b w:val="0"/>
          <w:bCs w:val="0"/>
          <w:color w:val="auto"/>
          <w:spacing w:val="11"/>
          <w:sz w:val="32"/>
          <w:szCs w:val="32"/>
          <w:lang w:eastAsia="zh-CN"/>
        </w:rPr>
        <w:t>做好分层分类社会救助工作。</w:t>
      </w:r>
      <w:r>
        <w:rPr>
          <w:rFonts w:hint="eastAsia" w:ascii="仿宋_GB2312" w:hAnsi="仿宋_GB2312" w:eastAsia="仿宋_GB2312" w:cs="仿宋_GB2312"/>
          <w:color w:val="000000"/>
          <w:kern w:val="0"/>
          <w:sz w:val="32"/>
          <w:szCs w:val="32"/>
          <w:lang w:val="en-US" w:eastAsia="zh-CN" w:bidi="ar"/>
        </w:rPr>
        <w:t>根据对象分层、政策分类的原则，</w:t>
      </w:r>
      <w:r>
        <w:rPr>
          <w:rFonts w:hint="eastAsia" w:ascii="仿宋_GB2312" w:hAnsi="仿宋_GB2312" w:eastAsia="仿宋_GB2312" w:cs="方正仿宋_GBK"/>
          <w:color w:val="000000"/>
          <w:sz w:val="32"/>
          <w:szCs w:val="32"/>
        </w:rPr>
        <w:t>从兜底保障、医疗救助、教育救助、住房救助、就业援助、受灾人员救助、社保资助参保、临时救助、流浪乞讨人员救助、公益慈善救助、服务类救助</w:t>
      </w:r>
      <w:r>
        <w:rPr>
          <w:rFonts w:hint="eastAsia" w:ascii="仿宋_GB2312" w:hAnsi="仿宋_GB2312" w:eastAsia="仿宋_GB2312" w:cs="方正仿宋_GBK"/>
          <w:color w:val="000000"/>
          <w:sz w:val="32"/>
          <w:szCs w:val="32"/>
          <w:lang w:eastAsia="zh-CN"/>
        </w:rPr>
        <w:t>、</w:t>
      </w:r>
      <w:r>
        <w:rPr>
          <w:rFonts w:hint="default" w:ascii="仿宋_GB2312" w:hAnsi="仿宋_GB2312" w:eastAsia="仿宋_GB2312" w:cs="方正仿宋_GBK"/>
          <w:color w:val="000000"/>
          <w:sz w:val="32"/>
          <w:szCs w:val="32"/>
          <w:lang w:val="en-US" w:eastAsia="zh-CN"/>
        </w:rPr>
        <w:t>司法救助</w:t>
      </w:r>
      <w:r>
        <w:rPr>
          <w:rFonts w:hint="eastAsia" w:ascii="仿宋_GB2312" w:hAnsi="仿宋_GB2312" w:eastAsia="仿宋_GB2312" w:cs="方正仿宋_GBK"/>
          <w:color w:val="000000"/>
          <w:sz w:val="32"/>
          <w:szCs w:val="32"/>
          <w:lang w:val="en-US" w:eastAsia="zh-CN"/>
        </w:rPr>
        <w:t>、</w:t>
      </w:r>
      <w:r>
        <w:rPr>
          <w:rFonts w:hint="default" w:ascii="仿宋_GB2312" w:hAnsi="仿宋_GB2312" w:eastAsia="仿宋_GB2312" w:cs="方正仿宋_GBK"/>
          <w:color w:val="000000"/>
          <w:sz w:val="32"/>
          <w:szCs w:val="32"/>
          <w:lang w:val="en-US" w:eastAsia="zh-CN"/>
        </w:rPr>
        <w:t>法律援助</w:t>
      </w:r>
      <w:bookmarkStart w:id="0" w:name="_GoBack"/>
      <w:bookmarkEnd w:id="0"/>
      <w:r>
        <w:rPr>
          <w:rFonts w:hint="eastAsia" w:ascii="仿宋_GB2312" w:hAnsi="仿宋_GB2312" w:eastAsia="仿宋_GB2312" w:cs="方正仿宋_GBK"/>
          <w:color w:val="000000"/>
          <w:sz w:val="32"/>
          <w:szCs w:val="32"/>
        </w:rPr>
        <w:t>以及其他救助等</w:t>
      </w:r>
      <w:r>
        <w:rPr>
          <w:rFonts w:hint="eastAsia" w:ascii="仿宋_GB2312" w:hAnsi="仿宋_GB2312" w:eastAsia="仿宋_GB2312" w:cs="方正仿宋_GBK"/>
          <w:color w:val="000000"/>
          <w:sz w:val="32"/>
          <w:szCs w:val="32"/>
          <w:lang w:val="en-US" w:eastAsia="zh-CN"/>
        </w:rPr>
        <w:t>15</w:t>
      </w:r>
      <w:r>
        <w:rPr>
          <w:rFonts w:hint="eastAsia" w:ascii="仿宋_GB2312" w:hAnsi="仿宋_GB2312" w:eastAsia="仿宋_GB2312" w:cs="方正仿宋_GBK"/>
          <w:color w:val="000000"/>
          <w:sz w:val="32"/>
          <w:szCs w:val="32"/>
        </w:rPr>
        <w:t>个方面，明确低收入人口常态化救助帮扶措施。</w:t>
      </w:r>
      <w:r>
        <w:rPr>
          <w:rFonts w:hint="eastAsia" w:ascii="仿宋_GB2312" w:hAnsi="仿宋_GB2312" w:eastAsia="仿宋_GB2312" w:cs="仿宋_GB2312"/>
          <w:color w:val="000000"/>
          <w:kern w:val="0"/>
          <w:sz w:val="32"/>
          <w:szCs w:val="32"/>
          <w:lang w:val="en-US" w:eastAsia="zh-CN" w:bidi="ar"/>
        </w:rPr>
        <w:t xml:space="preserve"> </w:t>
      </w:r>
    </w:p>
    <w:p w14:paraId="0AEDEA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方正仿宋_GBK"/>
          <w:color w:val="000000"/>
          <w:sz w:val="32"/>
          <w:szCs w:val="32"/>
        </w:rPr>
      </w:pPr>
      <w:r>
        <w:rPr>
          <w:rFonts w:hint="eastAsia" w:ascii="楷体_GB2312" w:hAnsi="楷体_GB2312" w:eastAsia="楷体_GB2312" w:cs="楷体_GB2312"/>
          <w:b w:val="0"/>
          <w:bCs w:val="0"/>
          <w:kern w:val="2"/>
          <w:sz w:val="32"/>
          <w:szCs w:val="32"/>
          <w:lang w:val="en-US" w:eastAsia="zh-CN" w:bidi="ar-SA"/>
        </w:rPr>
        <w:t>第五部分:组织实施。</w:t>
      </w:r>
      <w:r>
        <w:rPr>
          <w:rFonts w:hint="eastAsia" w:ascii="仿宋_GB2312" w:hAnsi="仿宋_GB2312" w:eastAsia="仿宋_GB2312" w:cs="方正仿宋_GBK"/>
          <w:color w:val="000000"/>
          <w:sz w:val="32"/>
          <w:szCs w:val="32"/>
        </w:rPr>
        <w:t>包含加强组织领导、强化分工协作、强化监督检查、夯实基层基础等4个部分，保障各项政策措施落实到位。</w:t>
      </w:r>
    </w:p>
    <w:p w14:paraId="5A93CE6F">
      <w:pPr>
        <w:pStyle w:val="14"/>
        <w:keepNext w:val="0"/>
        <w:keepLines w:val="0"/>
        <w:pageBreakBefore w:val="0"/>
        <w:wordWrap/>
        <w:overflowPunct/>
        <w:topLinePunct w:val="0"/>
        <w:bidi w:val="0"/>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三、特色亮点</w:t>
      </w:r>
    </w:p>
    <w:p w14:paraId="2662C3D6">
      <w:pPr>
        <w:pStyle w:val="14"/>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《实施意见》根据</w:t>
      </w:r>
      <w:r>
        <w:rPr>
          <w:rFonts w:hint="eastAsia" w:ascii="仿宋_GB2312" w:eastAsia="仿宋_GB2312" w:cs="Times New Roman"/>
          <w:color w:val="auto"/>
          <w:sz w:val="32"/>
          <w:szCs w:val="32"/>
          <w:lang w:val="en-US" w:eastAsia="zh-CN"/>
        </w:rPr>
        <w:t>赣府厅发〔2024〕11号</w:t>
      </w:r>
      <w:r>
        <w:rPr>
          <w:rFonts w:ascii="仿宋_GB2312" w:hAnsi="仿宋_GB2312" w:eastAsia="仿宋_GB2312" w:cs="仿宋_GB2312"/>
          <w:sz w:val="32"/>
          <w:szCs w:val="32"/>
        </w:rPr>
        <w:t>文件精神，结合我</w:t>
      </w:r>
      <w:r>
        <w:rPr>
          <w:rFonts w:hint="eastAsia" w:ascii="仿宋_GB2312" w:hAnsi="仿宋_GB2312" w:eastAsia="仿宋_GB2312" w:cs="仿宋_GB2312"/>
          <w:sz w:val="32"/>
          <w:szCs w:val="32"/>
          <w:lang w:val="en-US" w:eastAsia="zh-CN"/>
        </w:rPr>
        <w:t>市</w:t>
      </w:r>
      <w:r>
        <w:rPr>
          <w:rFonts w:ascii="仿宋_GB2312" w:hAnsi="仿宋_GB2312" w:eastAsia="仿宋_GB2312" w:cs="仿宋_GB2312"/>
          <w:sz w:val="32"/>
          <w:szCs w:val="32"/>
        </w:rPr>
        <w:t>工作实际，进行了适度细化调整，主要体现在四个方面。</w:t>
      </w:r>
    </w:p>
    <w:p w14:paraId="39E9B79F">
      <w:pPr>
        <w:pStyle w:val="14"/>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bCs/>
          <w:sz w:val="32"/>
          <w:szCs w:val="32"/>
        </w:rPr>
      </w:pPr>
      <w:r>
        <w:rPr>
          <w:rFonts w:hint="eastAsia" w:ascii="楷体_GB2312" w:hAnsi="楷体_GB2312" w:eastAsia="楷体_GB2312" w:cs="楷体_GB2312"/>
          <w:b w:val="0"/>
          <w:bCs w:val="0"/>
          <w:sz w:val="32"/>
          <w:szCs w:val="32"/>
        </w:rPr>
        <w:t>一是刚性支出困难家庭认定标准更灵活。</w:t>
      </w:r>
      <w:r>
        <w:rPr>
          <w:rFonts w:hint="default" w:ascii="仿宋_GB2312" w:hAnsi="仿宋_GB2312" w:eastAsia="仿宋_GB2312" w:cs="仿宋_GB2312"/>
          <w:b w:val="0"/>
          <w:bCs/>
          <w:sz w:val="32"/>
          <w:szCs w:val="32"/>
        </w:rPr>
        <w:t>明确</w:t>
      </w:r>
      <w:r>
        <w:rPr>
          <w:rFonts w:ascii="仿宋_GB2312" w:hAnsi="仿宋_GB2312" w:eastAsia="仿宋_GB2312" w:cs="仿宋_GB2312"/>
          <w:bCs/>
          <w:sz w:val="32"/>
          <w:szCs w:val="32"/>
        </w:rPr>
        <w:t>规定</w:t>
      </w:r>
      <w:r>
        <w:rPr>
          <w:rFonts w:hint="default" w:ascii="仿宋_GB2312" w:hAnsi="仿宋_GB2312" w:eastAsia="仿宋_GB2312" w:cs="仿宋_GB2312"/>
          <w:b w:val="0"/>
          <w:bCs/>
          <w:sz w:val="32"/>
          <w:szCs w:val="32"/>
        </w:rPr>
        <w:t>刚性支出的标准包括“</w:t>
      </w:r>
      <w:r>
        <w:rPr>
          <w:rFonts w:ascii="仿宋_GB2312" w:hAnsi="仿宋_GB2312" w:eastAsia="仿宋_GB2312" w:cs="仿宋_GB2312"/>
          <w:bCs/>
          <w:sz w:val="32"/>
          <w:szCs w:val="32"/>
        </w:rPr>
        <w:t>医疗、教育等必需支出占家庭总收入比例超过60％”“家庭人均收入扣减医疗、教育等必需支出后低于当地最低生活保障标准1.5倍</w:t>
      </w:r>
      <w:r>
        <w:rPr>
          <w:rFonts w:hint="default" w:ascii="仿宋_GB2312" w:hAnsi="仿宋_GB2312" w:eastAsia="仿宋_GB2312" w:cs="仿宋_GB2312"/>
          <w:b w:val="0"/>
          <w:bCs/>
          <w:sz w:val="32"/>
          <w:szCs w:val="32"/>
        </w:rPr>
        <w:t>”</w:t>
      </w:r>
      <w:r>
        <w:rPr>
          <w:rFonts w:ascii="仿宋_GB2312" w:hAnsi="仿宋_GB2312" w:eastAsia="仿宋_GB2312" w:cs="仿宋_GB2312"/>
          <w:bCs/>
          <w:sz w:val="32"/>
          <w:szCs w:val="32"/>
        </w:rPr>
        <w:t>两种情形，既与国务院文件保持一致，又与我</w:t>
      </w:r>
      <w:r>
        <w:rPr>
          <w:rFonts w:hint="eastAsia" w:ascii="仿宋_GB2312" w:hAnsi="仿宋_GB2312" w:eastAsia="仿宋_GB2312" w:cs="仿宋_GB2312"/>
          <w:bCs/>
          <w:sz w:val="32"/>
          <w:szCs w:val="32"/>
          <w:lang w:val="en-US" w:eastAsia="zh-CN"/>
        </w:rPr>
        <w:t>市</w:t>
      </w:r>
      <w:r>
        <w:rPr>
          <w:rFonts w:ascii="仿宋_GB2312" w:hAnsi="仿宋_GB2312" w:eastAsia="仿宋_GB2312" w:cs="仿宋_GB2312"/>
          <w:bCs/>
          <w:sz w:val="32"/>
          <w:szCs w:val="32"/>
        </w:rPr>
        <w:t>原有支出型困难家庭的认定标准衔接，切实做到应认尽认、应保尽保。</w:t>
      </w:r>
    </w:p>
    <w:p w14:paraId="44BE08DC">
      <w:pPr>
        <w:pStyle w:val="14"/>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b w:val="0"/>
          <w:bCs/>
          <w:sz w:val="32"/>
          <w:szCs w:val="32"/>
        </w:rPr>
      </w:pPr>
      <w:r>
        <w:rPr>
          <w:rFonts w:hint="eastAsia" w:ascii="楷体_GB2312" w:hAnsi="楷体_GB2312" w:eastAsia="楷体_GB2312" w:cs="楷体_GB2312"/>
          <w:b w:val="0"/>
          <w:bCs w:val="0"/>
          <w:sz w:val="32"/>
          <w:szCs w:val="32"/>
        </w:rPr>
        <w:t>二是其他困难人员认定更具有操作性。</w:t>
      </w:r>
      <w:r>
        <w:rPr>
          <w:rFonts w:ascii="仿宋_GB2312" w:hAnsi="仿宋_GB2312" w:eastAsia="仿宋_GB2312" w:cs="仿宋_GB2312"/>
          <w:bCs/>
          <w:sz w:val="32"/>
          <w:szCs w:val="32"/>
        </w:rPr>
        <w:t>明确定义其他困难人员的对象范围，规定除确有困难且经县级以上人民政府认定的其他低收入人口外，“家庭人均收入低于上年度当地居民人均可支配收入，且一年内申请社会救助未通过</w:t>
      </w:r>
      <w:r>
        <w:rPr>
          <w:rFonts w:hint="eastAsia" w:ascii="仿宋_GB2312" w:hAnsi="仿宋_GB2312" w:eastAsia="仿宋_GB2312" w:cs="仿宋_GB2312"/>
          <w:bCs/>
          <w:sz w:val="32"/>
          <w:szCs w:val="32"/>
          <w:lang w:eastAsia="zh-CN"/>
        </w:rPr>
        <w:t>或</w:t>
      </w:r>
      <w:r>
        <w:rPr>
          <w:rFonts w:ascii="仿宋_GB2312" w:hAnsi="仿宋_GB2312" w:eastAsia="仿宋_GB2312" w:cs="仿宋_GB2312"/>
          <w:bCs/>
          <w:sz w:val="32"/>
          <w:szCs w:val="32"/>
        </w:rPr>
        <w:t>两年内因家庭经济条件好转退出救助范围以及困难职工等”，也作为其他困难人员，更加便于基层操作。</w:t>
      </w:r>
    </w:p>
    <w:p w14:paraId="495261D8">
      <w:pPr>
        <w:pStyle w:val="14"/>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楷体_GB2312" w:hAnsi="楷体_GB2312" w:eastAsia="楷体_GB2312" w:cs="楷体_GB2312"/>
          <w:b w:val="0"/>
          <w:bCs w:val="0"/>
          <w:sz w:val="32"/>
          <w:szCs w:val="32"/>
        </w:rPr>
        <w:t>三是其他救助帮扶政策内容更丰富。</w:t>
      </w:r>
      <w:r>
        <w:rPr>
          <w:rFonts w:hint="eastAsia" w:ascii="仿宋_GB2312" w:hAnsi="仿宋_GB2312" w:eastAsia="仿宋_GB2312" w:cs="方正仿宋_GBK"/>
          <w:color w:val="000000"/>
          <w:sz w:val="32"/>
          <w:szCs w:val="32"/>
          <w:lang w:val="en-US" w:eastAsia="zh-CN"/>
        </w:rPr>
        <w:t>在</w:t>
      </w:r>
      <w:r>
        <w:rPr>
          <w:rFonts w:hint="eastAsia" w:ascii="仿宋_GB2312" w:eastAsia="仿宋_GB2312" w:cs="Times New Roman"/>
          <w:color w:val="auto"/>
          <w:sz w:val="32"/>
          <w:szCs w:val="32"/>
          <w:lang w:val="en-US" w:eastAsia="zh-CN"/>
        </w:rPr>
        <w:t>赣府厅发〔2024〕11号</w:t>
      </w:r>
      <w:r>
        <w:rPr>
          <w:rFonts w:ascii="仿宋_GB2312" w:hAnsi="仿宋_GB2312" w:eastAsia="仿宋_GB2312" w:cs="方正仿宋_GBK"/>
          <w:color w:val="000000"/>
          <w:sz w:val="32"/>
          <w:szCs w:val="32"/>
        </w:rPr>
        <w:t>文件基础上，增加</w:t>
      </w:r>
      <w:r>
        <w:rPr>
          <w:rFonts w:hint="eastAsia" w:ascii="仿宋_GB2312" w:hAnsi="仿宋_GB2312" w:eastAsia="仿宋_GB2312" w:cs="方正仿宋_GBK"/>
          <w:color w:val="000000"/>
          <w:sz w:val="32"/>
          <w:szCs w:val="32"/>
          <w:lang w:val="en-US" w:eastAsia="zh-CN"/>
        </w:rPr>
        <w:t>法检</w:t>
      </w:r>
      <w:r>
        <w:rPr>
          <w:rFonts w:ascii="仿宋_GB2312" w:hAnsi="仿宋_GB2312" w:eastAsia="仿宋_GB2312" w:cs="方正仿宋_GBK"/>
          <w:color w:val="000000"/>
          <w:sz w:val="32"/>
          <w:szCs w:val="32"/>
        </w:rPr>
        <w:t>部门为责任单位，</w:t>
      </w:r>
      <w:r>
        <w:rPr>
          <w:rFonts w:hint="eastAsia" w:ascii="仿宋_GB2312" w:hAnsi="仿宋_GB2312" w:eastAsia="仿宋_GB2312" w:cs="方正仿宋_GBK"/>
          <w:color w:val="000000"/>
          <w:sz w:val="32"/>
          <w:szCs w:val="32"/>
          <w:lang w:eastAsia="zh-CN"/>
        </w:rPr>
        <w:t>并</w:t>
      </w:r>
      <w:r>
        <w:rPr>
          <w:rFonts w:ascii="仿宋_GB2312" w:hAnsi="仿宋_GB2312" w:eastAsia="仿宋_GB2312" w:cs="方正仿宋_GBK"/>
          <w:color w:val="000000"/>
          <w:sz w:val="32"/>
          <w:szCs w:val="32"/>
        </w:rPr>
        <w:t>将司法救助</w:t>
      </w:r>
      <w:r>
        <w:rPr>
          <w:rFonts w:hint="eastAsia" w:ascii="仿宋_GB2312" w:hAnsi="仿宋_GB2312" w:eastAsia="仿宋_GB2312" w:cs="方正仿宋_GBK"/>
          <w:color w:val="000000"/>
          <w:sz w:val="32"/>
          <w:szCs w:val="32"/>
          <w:lang w:eastAsia="zh-CN"/>
        </w:rPr>
        <w:t>、</w:t>
      </w:r>
      <w:r>
        <w:rPr>
          <w:rFonts w:hint="eastAsia" w:ascii="仿宋_GB2312" w:hAnsi="仿宋_GB2312" w:eastAsia="仿宋_GB2312" w:cs="方正仿宋_GBK"/>
          <w:color w:val="000000"/>
          <w:sz w:val="32"/>
          <w:szCs w:val="32"/>
          <w:lang w:val="en-US" w:eastAsia="zh-CN"/>
        </w:rPr>
        <w:t>法律援助</w:t>
      </w:r>
      <w:r>
        <w:rPr>
          <w:rFonts w:ascii="仿宋_GB2312" w:hAnsi="仿宋_GB2312" w:eastAsia="仿宋_GB2312" w:cs="方正仿宋_GBK"/>
          <w:color w:val="000000"/>
          <w:sz w:val="32"/>
          <w:szCs w:val="32"/>
        </w:rPr>
        <w:t>等政策措施覆盖范围扩大到低保边缘家庭和刚性支出困难家庭，进一步增强救助实效。</w:t>
      </w:r>
    </w:p>
    <w:p w14:paraId="1F5E86A7">
      <w:pPr>
        <w:pStyle w:val="14"/>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四是各部门工作职责更清晰。</w:t>
      </w:r>
      <w:r>
        <w:rPr>
          <w:rFonts w:ascii="仿宋_GB2312" w:hAnsi="仿宋_GB2312" w:eastAsia="仿宋_GB2312" w:cs="仿宋_GB2312"/>
          <w:b w:val="0"/>
          <w:bCs/>
          <w:sz w:val="32"/>
          <w:szCs w:val="32"/>
        </w:rPr>
        <w:t>一方面，分条列点明确了各类救助对象认定的具体部门</w:t>
      </w:r>
      <w:r>
        <w:rPr>
          <w:rFonts w:ascii="仿宋_GB2312" w:hAnsi="仿宋_GB2312" w:eastAsia="仿宋_GB2312" w:cs="仿宋_GB2312"/>
          <w:bCs/>
          <w:sz w:val="32"/>
          <w:szCs w:val="32"/>
        </w:rPr>
        <w:t>；另一方面，</w:t>
      </w:r>
      <w:r>
        <w:rPr>
          <w:rFonts w:ascii="仿宋_GB2312" w:hAnsi="仿宋_GB2312" w:eastAsia="仿宋_GB2312" w:cs="方正仿宋_GBK"/>
          <w:color w:val="000000"/>
          <w:sz w:val="32"/>
          <w:szCs w:val="32"/>
        </w:rPr>
        <w:t>在细化各项救助帮扶政策的同时，明确了各项措施的具体责任单位，进一步厘清部门职责，压实部门责任，确保工作落实。</w:t>
      </w:r>
    </w:p>
    <w:p w14:paraId="4845A4EB">
      <w:pPr>
        <w:keepNext w:val="0"/>
        <w:keepLines w:val="0"/>
        <w:pageBreakBefore w:val="0"/>
        <w:kinsoku/>
        <w:wordWrap/>
        <w:topLinePunct w:val="0"/>
        <w:bidi w:val="0"/>
        <w:adjustRightInd/>
        <w:snapToGrid/>
        <w:spacing w:line="560" w:lineRule="exact"/>
        <w:textAlignment w:val="auto"/>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1A06A-FD82-4895-8849-04EDE5B332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altName w:val="Kartika"/>
    <w:panose1 w:val="02020500000000000000"/>
    <w:charset w:val="00"/>
    <w:family w:val="roman"/>
    <w:pitch w:val="default"/>
    <w:sig w:usb0="00000000" w:usb1="00000000" w:usb2="00000016" w:usb3="00000000" w:csb0="00100001" w:csb1="00000000"/>
  </w:font>
  <w:font w:name="方正小标宋简体">
    <w:panose1 w:val="02000000000000000000"/>
    <w:charset w:val="86"/>
    <w:family w:val="auto"/>
    <w:pitch w:val="default"/>
    <w:sig w:usb0="00000001" w:usb1="080E0000" w:usb2="00000000" w:usb3="00000000" w:csb0="00040000" w:csb1="00000000"/>
    <w:embedRegular r:id="rId2" w:fontKey="{61776EFB-83FC-4667-BD63-9803E254AFC0}"/>
  </w:font>
  <w:font w:name="仿宋">
    <w:panose1 w:val="02010609060101010101"/>
    <w:charset w:val="86"/>
    <w:family w:val="modern"/>
    <w:pitch w:val="default"/>
    <w:sig w:usb0="800002BF" w:usb1="38CF7CFA" w:usb2="00000016" w:usb3="00000000" w:csb0="00040001" w:csb1="00000000"/>
    <w:embedRegular r:id="rId3" w:fontKey="{20E57A04-5D82-4628-B6C0-BC3D2CE2C128}"/>
  </w:font>
  <w:font w:name="仿宋_GB2312">
    <w:panose1 w:val="02010609030101010101"/>
    <w:charset w:val="86"/>
    <w:family w:val="auto"/>
    <w:pitch w:val="default"/>
    <w:sig w:usb0="00000001" w:usb1="080E0000" w:usb2="00000000" w:usb3="00000000" w:csb0="00040000" w:csb1="00000000"/>
    <w:embedRegular r:id="rId4" w:fontKey="{85D68FA1-6905-486E-ABCB-3530BF103B74}"/>
  </w:font>
  <w:font w:name="方正仿宋_GBK">
    <w:altName w:val="微软雅黑"/>
    <w:panose1 w:val="02000000000000000000"/>
    <w:charset w:val="86"/>
    <w:family w:val="auto"/>
    <w:pitch w:val="default"/>
    <w:sig w:usb0="00000000" w:usb1="00000000" w:usb2="00082016" w:usb3="00000000" w:csb0="00040001" w:csb1="00000000"/>
    <w:embedRegular r:id="rId5" w:fontKey="{44E6CDCE-0029-4161-95DB-2431022DB935}"/>
  </w:font>
  <w:font w:name="楷体_GB2312">
    <w:panose1 w:val="02010609030101010101"/>
    <w:charset w:val="86"/>
    <w:family w:val="auto"/>
    <w:pitch w:val="default"/>
    <w:sig w:usb0="00000001" w:usb1="080E0000" w:usb2="00000000" w:usb3="00000000" w:csb0="00040000" w:csb1="00000000"/>
    <w:embedRegular r:id="rId6" w:fontKey="{84651DCB-E54D-49DB-900E-FE1BFD2F295B}"/>
  </w:font>
  <w:font w:name="CESI仿宋-GB2312">
    <w:altName w:val="仿宋"/>
    <w:panose1 w:val="02000500000000000000"/>
    <w:charset w:val="00"/>
    <w:family w:val="auto"/>
    <w:pitch w:val="default"/>
    <w:sig w:usb0="00000000" w:usb1="00000000" w:usb2="00000010" w:usb3="00000000" w:csb0="0004000F" w:csb1="00000000"/>
    <w:embedRegular r:id="rId7" w:fontKey="{213FEE87-483F-4B06-9E33-11316190736B}"/>
  </w:font>
  <w:font w:name="Kartika">
    <w:panose1 w:val="02020503030404060203"/>
    <w:charset w:val="00"/>
    <w:family w:val="auto"/>
    <w:pitch w:val="default"/>
    <w:sig w:usb0="008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FDDE">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668C6E">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9</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2668C6E">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9</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NDNhZTQzYjkwMDg0M2U5YzZjNTQ5Y2RhOTZlMmMifQ=="/>
  </w:docVars>
  <w:rsids>
    <w:rsidRoot w:val="00000000"/>
    <w:rsid w:val="19855812"/>
    <w:rsid w:val="1A96449F"/>
    <w:rsid w:val="324A31D7"/>
    <w:rsid w:val="36EF5067"/>
    <w:rsid w:val="3ACD3B57"/>
    <w:rsid w:val="3EAB0813"/>
    <w:rsid w:val="43EF2E95"/>
    <w:rsid w:val="4AEF22F6"/>
    <w:rsid w:val="5B386ABE"/>
    <w:rsid w:val="5D2D31AA"/>
    <w:rsid w:val="649F0960"/>
    <w:rsid w:val="72A15525"/>
    <w:rsid w:val="7366793F"/>
    <w:rsid w:val="AFFEBAF6"/>
    <w:rsid w:val="E76C6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spacing w:after="0" w:line="500" w:lineRule="exact"/>
      <w:ind w:firstLine="420"/>
      <w:jc w:val="left"/>
    </w:pPr>
    <w:rPr>
      <w:rFonts w:ascii="PMingLiU" w:hAnsi="PMingLiU" w:eastAsia="宋体" w:cs="Times New Roman"/>
      <w:kern w:val="0"/>
      <w:sz w:val="28"/>
      <w:szCs w:val="28"/>
      <w:lang w:val="zh-CN"/>
    </w:rPr>
  </w:style>
  <w:style w:type="paragraph" w:customStyle="1" w:styleId="3">
    <w:name w:val="BodyText"/>
    <w:basedOn w:val="1"/>
    <w:qFormat/>
    <w:uiPriority w:val="0"/>
    <w:pPr>
      <w:spacing w:after="120"/>
    </w:pPr>
    <w:rPr>
      <w:rFonts w:ascii="Calibri" w:hAnsi="Calibri" w:eastAsia="宋体" w:cs="Times New Roman"/>
    </w:rPr>
  </w:style>
  <w:style w:type="paragraph" w:styleId="5">
    <w:name w:val="Body Text"/>
    <w:basedOn w:val="1"/>
    <w:qFormat/>
    <w:uiPriority w:val="0"/>
    <w:pPr>
      <w:spacing w:after="120"/>
    </w:pPr>
  </w:style>
  <w:style w:type="paragraph" w:styleId="6">
    <w:name w:val="Plain Text"/>
    <w:basedOn w:val="1"/>
    <w:next w:val="7"/>
    <w:qFormat/>
    <w:uiPriority w:val="0"/>
    <w:pPr>
      <w:spacing w:line="576" w:lineRule="exact"/>
    </w:pPr>
    <w:rPr>
      <w:rFonts w:ascii="宋体" w:hAnsi="Courier New" w:eastAsia="Times New Roman" w:cs="Times New Roman"/>
      <w:kern w:val="0"/>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character" w:customStyle="1" w:styleId="13">
    <w:name w:val="NormalCharacter"/>
    <w:qFormat/>
    <w:uiPriority w:val="0"/>
    <w:rPr>
      <w:rFonts w:ascii="Calibri" w:hAnsi="Calibri" w:eastAsia="宋体" w:cs="Times New Roman"/>
      <w:kern w:val="2"/>
      <w:sz w:val="21"/>
      <w:szCs w:val="24"/>
      <w:lang w:val="en-US" w:eastAsia="zh-CN" w:bidi="ar-SA"/>
    </w:rPr>
  </w:style>
  <w:style w:type="paragraph" w:customStyle="1" w:styleId="14">
    <w:name w:val="Plain Text1"/>
    <w:basedOn w:val="1"/>
    <w:qFormat/>
    <w:uiPriority w:val="0"/>
    <w:rPr>
      <w:rFonts w:hint="eastAsia" w:ascii="宋体" w:hAnsi="Courier New"/>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1717</Words>
  <Characters>1740</Characters>
  <Lines>0</Lines>
  <Paragraphs>0</Paragraphs>
  <TotalTime>1</TotalTime>
  <ScaleCrop>false</ScaleCrop>
  <LinksUpToDate>false</LinksUpToDate>
  <CharactersWithSpaces>1744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万欣</cp:lastModifiedBy>
  <cp:lastPrinted>2024-05-24T16:08:00Z</cp:lastPrinted>
  <dcterms:modified xsi:type="dcterms:W3CDTF">2025-01-02T07:02:49Z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65FFAB7F27634A77AE6B798E94B3BF9F_13</vt:lpwstr>
  </property>
</Properties>
</file>